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70F" w:rsidRDefault="0049070F" w:rsidP="00F549FD">
      <w:pPr>
        <w:spacing w:after="0" w:line="360" w:lineRule="auto"/>
        <w:jc w:val="center"/>
      </w:pPr>
      <w:r>
        <w:t>Supplementary material</w:t>
      </w:r>
    </w:p>
    <w:p w:rsidR="0049070F" w:rsidRDefault="0049070F" w:rsidP="00F549FD">
      <w:pPr>
        <w:spacing w:after="0" w:line="360" w:lineRule="auto"/>
      </w:pPr>
    </w:p>
    <w:p w:rsidR="0049070F" w:rsidRDefault="0049070F" w:rsidP="00F549FD">
      <w:pPr>
        <w:spacing w:after="0" w:line="360" w:lineRule="auto"/>
      </w:pPr>
      <w:r w:rsidRPr="001901CD">
        <w:t xml:space="preserve">Appendix </w:t>
      </w:r>
      <w:r>
        <w:t>A.</w:t>
      </w:r>
      <w:r w:rsidRPr="001901CD">
        <w:t xml:space="preserve"> The 95% confidence intervals of the difference in the predict</w:t>
      </w:r>
      <w:r>
        <w:t>ed</w:t>
      </w:r>
      <w:r w:rsidRPr="001901CD">
        <w:t xml:space="preserve"> hazard ratios corresponding to difference in the time spent on MVPA relative remaining behaviours at work and leisure</w:t>
      </w:r>
      <w:r>
        <w:t>.</w:t>
      </w:r>
    </w:p>
    <w:tbl>
      <w:tblPr>
        <w:tblStyle w:val="TableGrid"/>
        <w:tblW w:w="9457" w:type="dxa"/>
        <w:tblLook w:val="04A0" w:firstRow="1" w:lastRow="0" w:firstColumn="1" w:lastColumn="0" w:noHBand="0" w:noVBand="1"/>
      </w:tblPr>
      <w:tblGrid>
        <w:gridCol w:w="1885"/>
        <w:gridCol w:w="2524"/>
        <w:gridCol w:w="2524"/>
        <w:gridCol w:w="2524"/>
      </w:tblGrid>
      <w:tr w:rsidR="0049070F" w:rsidRPr="0049070F" w:rsidTr="0049070F">
        <w:tc>
          <w:tcPr>
            <w:tcW w:w="1885" w:type="dxa"/>
            <w:tcBorders>
              <w:left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Difference in MVPA (min/day)</w:t>
            </w:r>
          </w:p>
        </w:tc>
        <w:tc>
          <w:tcPr>
            <w:tcW w:w="2524" w:type="dxa"/>
            <w:tcBorders>
              <w:left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HR</w:t>
            </w:r>
          </w:p>
          <w:p w:rsidR="0049070F" w:rsidRPr="0049070F" w:rsidRDefault="0049070F" w:rsidP="00F549FD">
            <w:pPr>
              <w:spacing w:after="0" w:line="360" w:lineRule="auto"/>
              <w:jc w:val="center"/>
            </w:pPr>
          </w:p>
        </w:tc>
        <w:tc>
          <w:tcPr>
            <w:tcW w:w="2524" w:type="dxa"/>
            <w:tcBorders>
              <w:left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95% Lower CI of HR</w:t>
            </w:r>
          </w:p>
          <w:p w:rsidR="0049070F" w:rsidRPr="0049070F" w:rsidRDefault="0049070F" w:rsidP="00F549FD">
            <w:pPr>
              <w:spacing w:after="0" w:line="360" w:lineRule="auto"/>
              <w:jc w:val="center"/>
            </w:pPr>
          </w:p>
        </w:tc>
        <w:tc>
          <w:tcPr>
            <w:tcW w:w="2524" w:type="dxa"/>
            <w:tcBorders>
              <w:left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95% Upper CI of HR</w:t>
            </w:r>
          </w:p>
        </w:tc>
      </w:tr>
      <w:tr w:rsidR="0049070F" w:rsidRPr="0049070F" w:rsidTr="0049070F">
        <w:tc>
          <w:tcPr>
            <w:tcW w:w="1885" w:type="dxa"/>
            <w:tcBorders>
              <w:left w:val="nil"/>
              <w:bottom w:val="single" w:sz="4" w:space="0" w:color="auto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Work</w:t>
            </w:r>
          </w:p>
        </w:tc>
        <w:tc>
          <w:tcPr>
            <w:tcW w:w="2524" w:type="dxa"/>
            <w:tcBorders>
              <w:left w:val="nil"/>
              <w:bottom w:val="single" w:sz="4" w:space="0" w:color="auto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</w:p>
        </w:tc>
        <w:tc>
          <w:tcPr>
            <w:tcW w:w="2524" w:type="dxa"/>
            <w:tcBorders>
              <w:left w:val="nil"/>
              <w:bottom w:val="single" w:sz="4" w:space="0" w:color="auto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</w:p>
        </w:tc>
        <w:tc>
          <w:tcPr>
            <w:tcW w:w="2524" w:type="dxa"/>
            <w:tcBorders>
              <w:left w:val="nil"/>
              <w:bottom w:val="single" w:sz="4" w:space="0" w:color="auto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</w:p>
        </w:tc>
      </w:tr>
      <w:tr w:rsidR="0049070F" w:rsidRPr="0049070F" w:rsidTr="0049070F"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-20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color w:val="000000"/>
              </w:rPr>
              <w:t>0.83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  <w:rPr>
                <w:color w:val="000000"/>
              </w:rPr>
            </w:pPr>
            <w:r w:rsidRPr="0049070F">
              <w:rPr>
                <w:color w:val="000000"/>
              </w:rPr>
              <w:t>0.71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color w:val="000000"/>
              </w:rPr>
              <w:t>0.98</w:t>
            </w:r>
          </w:p>
        </w:tc>
      </w:tr>
      <w:tr w:rsidR="0049070F" w:rsidRPr="0049070F" w:rsidTr="0049070F"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-10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color w:val="000000"/>
              </w:rPr>
              <w:t>0.92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  <w:rPr>
                <w:color w:val="000000"/>
              </w:rPr>
            </w:pPr>
            <w:r w:rsidRPr="0049070F">
              <w:rPr>
                <w:color w:val="000000"/>
              </w:rPr>
              <w:t>0.86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color w:val="000000"/>
              </w:rPr>
              <w:t>0.99</w:t>
            </w:r>
          </w:p>
        </w:tc>
      </w:tr>
      <w:tr w:rsidR="0049070F" w:rsidRPr="0049070F" w:rsidTr="0049070F"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color w:val="000000"/>
              </w:rPr>
              <w:t>1.00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  <w:rPr>
                <w:color w:val="000000"/>
              </w:rPr>
            </w:pPr>
            <w:r w:rsidRPr="0049070F">
              <w:rPr>
                <w:color w:val="000000"/>
              </w:rPr>
              <w:t>1.00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color w:val="000000"/>
              </w:rPr>
              <w:t>1.00</w:t>
            </w:r>
          </w:p>
        </w:tc>
      </w:tr>
      <w:tr w:rsidR="0049070F" w:rsidRPr="0049070F" w:rsidTr="0049070F"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+10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color w:val="000000"/>
              </w:rPr>
              <w:t>1.08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  <w:rPr>
                <w:color w:val="000000"/>
              </w:rPr>
            </w:pPr>
            <w:r w:rsidRPr="0049070F">
              <w:rPr>
                <w:color w:val="000000"/>
              </w:rPr>
              <w:t>1.01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color w:val="000000"/>
              </w:rPr>
              <w:t>1.15</w:t>
            </w:r>
          </w:p>
        </w:tc>
      </w:tr>
      <w:tr w:rsidR="0049070F" w:rsidRPr="0049070F" w:rsidTr="0049070F"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+20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color w:val="000000"/>
              </w:rPr>
              <w:t>1.15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  <w:rPr>
                <w:color w:val="000000"/>
              </w:rPr>
            </w:pPr>
            <w:r w:rsidRPr="0049070F">
              <w:rPr>
                <w:color w:val="000000"/>
              </w:rPr>
              <w:t>1.02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color w:val="000000"/>
              </w:rPr>
              <w:t>1.30</w:t>
            </w:r>
          </w:p>
        </w:tc>
      </w:tr>
      <w:tr w:rsidR="0049070F" w:rsidRPr="0049070F" w:rsidTr="0049070F">
        <w:tc>
          <w:tcPr>
            <w:tcW w:w="1885" w:type="dxa"/>
            <w:tcBorders>
              <w:left w:val="nil"/>
              <w:bottom w:val="single" w:sz="4" w:space="0" w:color="auto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Leisure</w:t>
            </w:r>
          </w:p>
        </w:tc>
        <w:tc>
          <w:tcPr>
            <w:tcW w:w="2524" w:type="dxa"/>
            <w:tcBorders>
              <w:left w:val="nil"/>
              <w:bottom w:val="single" w:sz="4" w:space="0" w:color="auto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</w:p>
        </w:tc>
        <w:tc>
          <w:tcPr>
            <w:tcW w:w="2524" w:type="dxa"/>
            <w:tcBorders>
              <w:left w:val="nil"/>
              <w:bottom w:val="single" w:sz="4" w:space="0" w:color="auto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</w:p>
        </w:tc>
        <w:tc>
          <w:tcPr>
            <w:tcW w:w="2524" w:type="dxa"/>
            <w:tcBorders>
              <w:left w:val="nil"/>
              <w:bottom w:val="single" w:sz="4" w:space="0" w:color="auto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</w:p>
        </w:tc>
      </w:tr>
      <w:tr w:rsidR="0049070F" w:rsidRPr="0049070F" w:rsidTr="0049070F">
        <w:tc>
          <w:tcPr>
            <w:tcW w:w="1885" w:type="dxa"/>
            <w:tcBorders>
              <w:left w:val="nil"/>
              <w:bottom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-20</w:t>
            </w:r>
          </w:p>
        </w:tc>
        <w:tc>
          <w:tcPr>
            <w:tcW w:w="2524" w:type="dxa"/>
            <w:tcBorders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bCs/>
                <w:color w:val="000000"/>
              </w:rPr>
              <w:t>1.52</w:t>
            </w:r>
          </w:p>
        </w:tc>
        <w:tc>
          <w:tcPr>
            <w:tcW w:w="2524" w:type="dxa"/>
            <w:tcBorders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  <w:rPr>
                <w:bCs/>
                <w:color w:val="000000"/>
              </w:rPr>
            </w:pPr>
            <w:r w:rsidRPr="0049070F">
              <w:rPr>
                <w:bCs/>
                <w:color w:val="000000"/>
              </w:rPr>
              <w:t>1.06</w:t>
            </w:r>
          </w:p>
        </w:tc>
        <w:tc>
          <w:tcPr>
            <w:tcW w:w="2524" w:type="dxa"/>
            <w:tcBorders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bCs/>
                <w:color w:val="000000"/>
              </w:rPr>
              <w:t>2.18</w:t>
            </w:r>
          </w:p>
        </w:tc>
      </w:tr>
      <w:tr w:rsidR="0049070F" w:rsidRPr="0049070F" w:rsidTr="0049070F"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-10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bCs/>
                <w:color w:val="000000"/>
              </w:rPr>
              <w:t>1.18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  <w:rPr>
                <w:bCs/>
                <w:color w:val="000000"/>
              </w:rPr>
            </w:pPr>
            <w:r w:rsidRPr="0049070F">
              <w:rPr>
                <w:bCs/>
                <w:color w:val="000000"/>
              </w:rPr>
              <w:t>1.02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bCs/>
                <w:color w:val="000000"/>
              </w:rPr>
              <w:t>1.35</w:t>
            </w:r>
          </w:p>
        </w:tc>
      </w:tr>
      <w:tr w:rsidR="0049070F" w:rsidRPr="0049070F" w:rsidTr="0049070F"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bCs/>
                <w:color w:val="000000"/>
              </w:rPr>
              <w:t>1.00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  <w:rPr>
                <w:bCs/>
                <w:color w:val="000000"/>
              </w:rPr>
            </w:pPr>
            <w:r w:rsidRPr="0049070F">
              <w:rPr>
                <w:bCs/>
                <w:color w:val="000000"/>
              </w:rPr>
              <w:t>1.00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bCs/>
                <w:color w:val="000000"/>
              </w:rPr>
              <w:t>1.00</w:t>
            </w:r>
          </w:p>
        </w:tc>
      </w:tr>
      <w:tr w:rsidR="0049070F" w:rsidRPr="0049070F" w:rsidTr="0049070F"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+10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bCs/>
                <w:color w:val="000000"/>
              </w:rPr>
              <w:t>0.89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  <w:rPr>
                <w:bCs/>
                <w:color w:val="000000"/>
              </w:rPr>
            </w:pPr>
            <w:r w:rsidRPr="0049070F">
              <w:rPr>
                <w:bCs/>
                <w:color w:val="000000"/>
              </w:rPr>
              <w:t>0.80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bCs/>
                <w:color w:val="000000"/>
              </w:rPr>
              <w:t>0.98</w:t>
            </w:r>
          </w:p>
        </w:tc>
      </w:tr>
      <w:tr w:rsidR="0049070F" w:rsidRPr="0049070F" w:rsidTr="0049070F">
        <w:tc>
          <w:tcPr>
            <w:tcW w:w="1885" w:type="dxa"/>
            <w:tcBorders>
              <w:top w:val="nil"/>
              <w:left w:val="nil"/>
              <w:right w:val="nil"/>
            </w:tcBorders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t>+20</w:t>
            </w:r>
          </w:p>
        </w:tc>
        <w:tc>
          <w:tcPr>
            <w:tcW w:w="2524" w:type="dxa"/>
            <w:tcBorders>
              <w:top w:val="nil"/>
              <w:left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bCs/>
                <w:color w:val="000000"/>
              </w:rPr>
              <w:t>0.81</w:t>
            </w:r>
          </w:p>
        </w:tc>
        <w:tc>
          <w:tcPr>
            <w:tcW w:w="2524" w:type="dxa"/>
            <w:tcBorders>
              <w:top w:val="nil"/>
              <w:left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  <w:rPr>
                <w:bCs/>
                <w:color w:val="000000"/>
              </w:rPr>
            </w:pPr>
            <w:r w:rsidRPr="0049070F">
              <w:rPr>
                <w:bCs/>
                <w:color w:val="000000"/>
              </w:rPr>
              <w:t>0.67</w:t>
            </w:r>
          </w:p>
        </w:tc>
        <w:tc>
          <w:tcPr>
            <w:tcW w:w="2524" w:type="dxa"/>
            <w:tcBorders>
              <w:top w:val="nil"/>
              <w:left w:val="nil"/>
              <w:right w:val="nil"/>
            </w:tcBorders>
            <w:vAlign w:val="bottom"/>
          </w:tcPr>
          <w:p w:rsidR="0049070F" w:rsidRPr="0049070F" w:rsidRDefault="0049070F" w:rsidP="00F549FD">
            <w:pPr>
              <w:spacing w:after="0" w:line="360" w:lineRule="auto"/>
              <w:jc w:val="center"/>
            </w:pPr>
            <w:r w:rsidRPr="0049070F">
              <w:rPr>
                <w:bCs/>
                <w:color w:val="000000"/>
              </w:rPr>
              <w:t>0.97</w:t>
            </w:r>
          </w:p>
        </w:tc>
      </w:tr>
    </w:tbl>
    <w:p w:rsidR="0049070F" w:rsidRPr="0049070F" w:rsidRDefault="0049070F" w:rsidP="00F549FD">
      <w:pPr>
        <w:pStyle w:val="MDPI31text"/>
        <w:spacing w:line="360" w:lineRule="auto"/>
        <w:ind w:firstLine="0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49070F" w:rsidRDefault="0049070F" w:rsidP="00F549FD">
      <w:pPr>
        <w:pStyle w:val="MDPI31text"/>
        <w:spacing w:line="360" w:lineRule="auto"/>
        <w:ind w:firstLine="0"/>
        <w:jc w:val="lef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:rsidR="0049070F" w:rsidRDefault="0049070F" w:rsidP="00F549FD">
      <w:pPr>
        <w:spacing w:after="0" w:line="360" w:lineRule="auto"/>
      </w:pPr>
      <w:r>
        <w:lastRenderedPageBreak/>
        <w:t>Appendix B</w:t>
      </w:r>
      <w:r>
        <w:t xml:space="preserve">. Results of Cox Proportional Hazard model indicating the association between composition of relative MVPA at work and leisure and risk of long-term sickness absence among 929 workers. 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8"/>
        <w:gridCol w:w="2411"/>
        <w:gridCol w:w="2408"/>
        <w:gridCol w:w="2411"/>
      </w:tblGrid>
      <w:tr w:rsidR="0049070F" w:rsidTr="001E04C7">
        <w:trPr>
          <w:jc w:val="center"/>
        </w:trPr>
        <w:tc>
          <w:tcPr>
            <w:tcW w:w="1249" w:type="pct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Variables</w:t>
            </w:r>
          </w:p>
        </w:tc>
        <w:tc>
          <w:tcPr>
            <w:tcW w:w="1251" w:type="pct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HR</w:t>
            </w:r>
          </w:p>
        </w:tc>
        <w:tc>
          <w:tcPr>
            <w:tcW w:w="1249" w:type="pct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95%CI Lower</w:t>
            </w:r>
          </w:p>
        </w:tc>
        <w:tc>
          <w:tcPr>
            <w:tcW w:w="1251" w:type="pct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95%CI Higher</w:t>
            </w:r>
          </w:p>
        </w:tc>
      </w:tr>
      <w:tr w:rsidR="0049070F" w:rsidTr="001E04C7">
        <w:trPr>
          <w:jc w:val="center"/>
        </w:trPr>
        <w:tc>
          <w:tcPr>
            <w:tcW w:w="1249" w:type="pct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Work</w:t>
            </w:r>
          </w:p>
        </w:tc>
        <w:tc>
          <w:tcPr>
            <w:tcW w:w="1251" w:type="pct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</w:p>
        </w:tc>
        <w:tc>
          <w:tcPr>
            <w:tcW w:w="1249" w:type="pct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</w:p>
        </w:tc>
        <w:tc>
          <w:tcPr>
            <w:tcW w:w="1251" w:type="pct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</w:p>
        </w:tc>
      </w:tr>
      <w:tr w:rsidR="0049070F" w:rsidTr="001E04C7">
        <w:trPr>
          <w:jc w:val="center"/>
        </w:trPr>
        <w:tc>
          <w:tcPr>
            <w:tcW w:w="1249" w:type="pct"/>
            <w:tcBorders>
              <w:top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Ilr</w:t>
            </w:r>
            <w:r w:rsidRPr="0049070F">
              <w:rPr>
                <w:vertAlign w:val="subscript"/>
                <w:lang w:val="en-US"/>
              </w:rPr>
              <w:t>1</w:t>
            </w:r>
          </w:p>
        </w:tc>
        <w:tc>
          <w:tcPr>
            <w:tcW w:w="1251" w:type="pct"/>
            <w:tcBorders>
              <w:top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1.64</w:t>
            </w:r>
          </w:p>
        </w:tc>
        <w:tc>
          <w:tcPr>
            <w:tcW w:w="1249" w:type="pct"/>
            <w:tcBorders>
              <w:top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1.07</w:t>
            </w:r>
          </w:p>
        </w:tc>
        <w:tc>
          <w:tcPr>
            <w:tcW w:w="1251" w:type="pct"/>
            <w:tcBorders>
              <w:top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2.52</w:t>
            </w:r>
          </w:p>
        </w:tc>
      </w:tr>
      <w:tr w:rsidR="0049070F" w:rsidTr="001E04C7">
        <w:trPr>
          <w:jc w:val="center"/>
        </w:trPr>
        <w:tc>
          <w:tcPr>
            <w:tcW w:w="1249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Ilr</w:t>
            </w:r>
            <w:r w:rsidRPr="0049070F">
              <w:rPr>
                <w:vertAlign w:val="subscript"/>
                <w:lang w:val="en-US"/>
              </w:rPr>
              <w:t>2</w:t>
            </w:r>
          </w:p>
        </w:tc>
        <w:tc>
          <w:tcPr>
            <w:tcW w:w="1251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1.12</w:t>
            </w:r>
          </w:p>
        </w:tc>
        <w:tc>
          <w:tcPr>
            <w:tcW w:w="1249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0.94</w:t>
            </w:r>
          </w:p>
        </w:tc>
        <w:tc>
          <w:tcPr>
            <w:tcW w:w="1251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1.34</w:t>
            </w:r>
          </w:p>
        </w:tc>
      </w:tr>
      <w:tr w:rsidR="0049070F" w:rsidTr="001E04C7">
        <w:trPr>
          <w:jc w:val="center"/>
        </w:trPr>
        <w:tc>
          <w:tcPr>
            <w:tcW w:w="1249" w:type="pct"/>
            <w:tcBorders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Ilr</w:t>
            </w:r>
            <w:r w:rsidRPr="0049070F">
              <w:rPr>
                <w:vertAlign w:val="subscript"/>
                <w:lang w:val="en-US"/>
              </w:rPr>
              <w:t>3</w:t>
            </w:r>
          </w:p>
        </w:tc>
        <w:tc>
          <w:tcPr>
            <w:tcW w:w="1251" w:type="pct"/>
            <w:tcBorders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1.09</w:t>
            </w:r>
          </w:p>
        </w:tc>
        <w:tc>
          <w:tcPr>
            <w:tcW w:w="1249" w:type="pct"/>
            <w:tcBorders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0.72</w:t>
            </w:r>
          </w:p>
        </w:tc>
        <w:tc>
          <w:tcPr>
            <w:tcW w:w="1251" w:type="pct"/>
            <w:tcBorders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1.67</w:t>
            </w:r>
          </w:p>
        </w:tc>
      </w:tr>
      <w:tr w:rsidR="0049070F" w:rsidTr="001E04C7">
        <w:trPr>
          <w:jc w:val="center"/>
        </w:trPr>
        <w:tc>
          <w:tcPr>
            <w:tcW w:w="1249" w:type="pct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Leisure</w:t>
            </w:r>
          </w:p>
        </w:tc>
        <w:tc>
          <w:tcPr>
            <w:tcW w:w="1251" w:type="pct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</w:p>
        </w:tc>
        <w:tc>
          <w:tcPr>
            <w:tcW w:w="1249" w:type="pct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</w:p>
        </w:tc>
        <w:tc>
          <w:tcPr>
            <w:tcW w:w="1251" w:type="pct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</w:p>
        </w:tc>
      </w:tr>
      <w:tr w:rsidR="0049070F" w:rsidTr="001E04C7">
        <w:trPr>
          <w:jc w:val="center"/>
        </w:trPr>
        <w:tc>
          <w:tcPr>
            <w:tcW w:w="1249" w:type="pct"/>
            <w:tcBorders>
              <w:top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Ilr</w:t>
            </w:r>
            <w:r w:rsidRPr="0049070F">
              <w:rPr>
                <w:vertAlign w:val="subscript"/>
                <w:lang w:val="en-US"/>
              </w:rPr>
              <w:t>1</w:t>
            </w:r>
          </w:p>
        </w:tc>
        <w:tc>
          <w:tcPr>
            <w:tcW w:w="1251" w:type="pct"/>
            <w:tcBorders>
              <w:top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0.62</w:t>
            </w:r>
          </w:p>
        </w:tc>
        <w:tc>
          <w:tcPr>
            <w:tcW w:w="1249" w:type="pct"/>
            <w:tcBorders>
              <w:top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0.41</w:t>
            </w:r>
          </w:p>
        </w:tc>
        <w:tc>
          <w:tcPr>
            <w:tcW w:w="1251" w:type="pct"/>
            <w:tcBorders>
              <w:top w:val="single" w:sz="4" w:space="0" w:color="auto"/>
            </w:tcBorders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0.94</w:t>
            </w:r>
          </w:p>
        </w:tc>
      </w:tr>
      <w:tr w:rsidR="0049070F" w:rsidTr="001E04C7">
        <w:trPr>
          <w:jc w:val="center"/>
        </w:trPr>
        <w:tc>
          <w:tcPr>
            <w:tcW w:w="1249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Ilr</w:t>
            </w:r>
            <w:r w:rsidRPr="0049070F">
              <w:rPr>
                <w:vertAlign w:val="subscript"/>
                <w:lang w:val="en-US"/>
              </w:rPr>
              <w:t>2</w:t>
            </w:r>
          </w:p>
        </w:tc>
        <w:tc>
          <w:tcPr>
            <w:tcW w:w="1251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1.09</w:t>
            </w:r>
          </w:p>
        </w:tc>
        <w:tc>
          <w:tcPr>
            <w:tcW w:w="1249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0.65</w:t>
            </w:r>
          </w:p>
        </w:tc>
        <w:tc>
          <w:tcPr>
            <w:tcW w:w="1251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1.82</w:t>
            </w:r>
          </w:p>
        </w:tc>
      </w:tr>
      <w:tr w:rsidR="0049070F" w:rsidTr="001E04C7">
        <w:trPr>
          <w:jc w:val="center"/>
        </w:trPr>
        <w:tc>
          <w:tcPr>
            <w:tcW w:w="1249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Ilr</w:t>
            </w:r>
            <w:r w:rsidRPr="0049070F">
              <w:rPr>
                <w:vertAlign w:val="subscript"/>
                <w:lang w:val="en-US"/>
              </w:rPr>
              <w:t>3</w:t>
            </w:r>
          </w:p>
        </w:tc>
        <w:tc>
          <w:tcPr>
            <w:tcW w:w="1251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1.28</w:t>
            </w:r>
          </w:p>
        </w:tc>
        <w:tc>
          <w:tcPr>
            <w:tcW w:w="1249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0.69</w:t>
            </w:r>
          </w:p>
        </w:tc>
        <w:tc>
          <w:tcPr>
            <w:tcW w:w="1251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2.38</w:t>
            </w:r>
          </w:p>
        </w:tc>
      </w:tr>
      <w:tr w:rsidR="0049070F" w:rsidTr="001E04C7">
        <w:trPr>
          <w:jc w:val="center"/>
        </w:trPr>
        <w:tc>
          <w:tcPr>
            <w:tcW w:w="1249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Ilr</w:t>
            </w:r>
            <w:r w:rsidRPr="0049070F">
              <w:rPr>
                <w:vertAlign w:val="subscript"/>
                <w:lang w:val="en-US"/>
              </w:rPr>
              <w:t>4</w:t>
            </w:r>
          </w:p>
        </w:tc>
        <w:tc>
          <w:tcPr>
            <w:tcW w:w="1251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1.00</w:t>
            </w:r>
          </w:p>
        </w:tc>
        <w:tc>
          <w:tcPr>
            <w:tcW w:w="1249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0.58</w:t>
            </w:r>
          </w:p>
        </w:tc>
        <w:tc>
          <w:tcPr>
            <w:tcW w:w="1251" w:type="pct"/>
          </w:tcPr>
          <w:p w:rsidR="0049070F" w:rsidRDefault="0049070F" w:rsidP="00F549FD">
            <w:pPr>
              <w:spacing w:after="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1.75</w:t>
            </w:r>
          </w:p>
        </w:tc>
      </w:tr>
    </w:tbl>
    <w:p w:rsidR="00F549FD" w:rsidRPr="0049070F" w:rsidRDefault="0049070F" w:rsidP="00F549FD">
      <w:pPr>
        <w:pStyle w:val="MDPI31text"/>
        <w:spacing w:line="360" w:lineRule="auto"/>
        <w:ind w:firstLine="0"/>
        <w:jc w:val="left"/>
        <w:rPr>
          <w:rFonts w:ascii="Times New Roman" w:hAnsi="Times New Roman"/>
          <w:lang w:val="en-GB"/>
        </w:rPr>
      </w:pPr>
      <w:r>
        <w:rPr>
          <w:lang w:val="en-US"/>
        </w:rPr>
        <w:t>I</w:t>
      </w:r>
      <w:r>
        <w:rPr>
          <w:lang w:val="en-US"/>
        </w:rPr>
        <w:t>lr</w:t>
      </w:r>
      <w:r w:rsidRPr="0049070F">
        <w:rPr>
          <w:vertAlign w:val="subscript"/>
          <w:lang w:val="en-US"/>
        </w:rPr>
        <w:t>1</w:t>
      </w:r>
      <w:r>
        <w:rPr>
          <w:lang w:val="en-US"/>
        </w:rPr>
        <w:t xml:space="preserve"> = ratio of the MVPA and geometric mean of the remaining behaviors. Ilr</w:t>
      </w:r>
      <w:r w:rsidRPr="0049070F">
        <w:rPr>
          <w:vertAlign w:val="subscript"/>
          <w:lang w:val="en-US"/>
        </w:rPr>
        <w:t>2-4</w:t>
      </w:r>
      <w:r>
        <w:rPr>
          <w:lang w:val="en-US"/>
        </w:rPr>
        <w:t xml:space="preserve"> are the ratios where the remaining behaviors </w:t>
      </w:r>
      <w:r w:rsidR="00F549FD">
        <w:rPr>
          <w:lang w:val="en-US"/>
        </w:rPr>
        <w:t xml:space="preserve">are further split up; </w:t>
      </w:r>
      <w:r w:rsidR="003A3CF5">
        <w:rPr>
          <w:lang w:val="en-US"/>
        </w:rPr>
        <w:t>Models a</w:t>
      </w:r>
      <w:r w:rsidR="00F549FD">
        <w:rPr>
          <w:rFonts w:ascii="Times New Roman" w:hAnsi="Times New Roman"/>
          <w:lang w:val="en-GB"/>
        </w:rPr>
        <w:t xml:space="preserve">djusted for </w:t>
      </w:r>
      <w:r w:rsidR="00F549FD" w:rsidRPr="00695BB9">
        <w:rPr>
          <w:rFonts w:ascii="Times New Roman" w:hAnsi="Times New Roman"/>
          <w:lang w:val="en-GB"/>
        </w:rPr>
        <w:t>age, sex, BMI, smoking status, and occupational lifting/carrying duration</w:t>
      </w:r>
      <w:r w:rsidR="00F549FD">
        <w:rPr>
          <w:rFonts w:ascii="Times New Roman" w:hAnsi="Times New Roman"/>
          <w:lang w:val="en-GB"/>
        </w:rPr>
        <w:t xml:space="preserve"> and MVPA and other physical behaviour</w:t>
      </w:r>
      <w:bookmarkStart w:id="0" w:name="_GoBack"/>
      <w:bookmarkEnd w:id="0"/>
      <w:r w:rsidR="00F549FD">
        <w:rPr>
          <w:rFonts w:ascii="Times New Roman" w:hAnsi="Times New Roman"/>
          <w:lang w:val="en-GB"/>
        </w:rPr>
        <w:t>s in the mutual domain; HR=hazard ratios</w:t>
      </w:r>
      <w:r w:rsidR="00F549FD">
        <w:rPr>
          <w:rFonts w:ascii="Times New Roman" w:hAnsi="Times New Roman"/>
          <w:lang w:val="en-GB"/>
        </w:rPr>
        <w:t>.</w:t>
      </w:r>
    </w:p>
    <w:p w:rsidR="0049070F" w:rsidRDefault="0049070F" w:rsidP="00F549FD">
      <w:pPr>
        <w:spacing w:after="0" w:line="360" w:lineRule="auto"/>
        <w:rPr>
          <w:lang w:val="en-US"/>
        </w:rPr>
      </w:pPr>
    </w:p>
    <w:p w:rsidR="0049070F" w:rsidRDefault="0049070F" w:rsidP="00F549FD">
      <w:pPr>
        <w:spacing w:after="0" w:line="360" w:lineRule="auto"/>
        <w:rPr>
          <w:lang w:val="en-US"/>
        </w:rPr>
      </w:pPr>
      <w:r>
        <w:rPr>
          <w:lang w:val="en-US"/>
        </w:rPr>
        <w:br w:type="page"/>
      </w:r>
    </w:p>
    <w:p w:rsidR="0049070F" w:rsidRDefault="0049070F" w:rsidP="00F549FD">
      <w:pPr>
        <w:pStyle w:val="MDPI31text"/>
        <w:spacing w:line="360" w:lineRule="auto"/>
        <w:ind w:firstLine="0"/>
        <w:jc w:val="left"/>
        <w:rPr>
          <w:rFonts w:ascii="Times New Roman" w:hAnsi="Times New Roman"/>
          <w:color w:val="auto"/>
          <w:sz w:val="24"/>
          <w:szCs w:val="24"/>
          <w:lang w:val="en-GB" w:eastAsia="en-US"/>
        </w:rPr>
      </w:pPr>
      <w:r>
        <w:rPr>
          <w:rFonts w:ascii="Times New Roman" w:hAnsi="Times New Roman"/>
          <w:sz w:val="24"/>
          <w:szCs w:val="24"/>
          <w:lang w:val="en-US"/>
        </w:rPr>
        <w:lastRenderedPageBreak/>
        <w:t>Appendi</w:t>
      </w:r>
      <w:r>
        <w:rPr>
          <w:rFonts w:ascii="Times New Roman" w:hAnsi="Times New Roman"/>
          <w:sz w:val="24"/>
          <w:szCs w:val="24"/>
          <w:lang w:val="en-US"/>
        </w:rPr>
        <w:t>x C</w:t>
      </w:r>
      <w:r>
        <w:rPr>
          <w:rFonts w:ascii="Times New Roman" w:hAnsi="Times New Roman"/>
          <w:sz w:val="24"/>
          <w:szCs w:val="24"/>
          <w:lang w:val="en-US"/>
        </w:rPr>
        <w:t>. Results of the sensitivity analyses adjusting for indicators of SES (type of work and education) and stratifying on three categories of SES on workers who had data SES (N=811)</w:t>
      </w:r>
    </w:p>
    <w:tbl>
      <w:tblPr>
        <w:tblStyle w:val="TableGrid"/>
        <w:tblW w:w="72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1075"/>
        <w:gridCol w:w="896"/>
        <w:gridCol w:w="1318"/>
        <w:gridCol w:w="896"/>
      </w:tblGrid>
      <w:tr w:rsidR="0049070F" w:rsidTr="001E04C7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P</w:t>
            </w:r>
          </w:p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P</w:t>
            </w:r>
          </w:p>
        </w:tc>
      </w:tr>
      <w:tr w:rsidR="0049070F" w:rsidTr="001E04C7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Work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Leisure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49070F" w:rsidTr="001E04C7">
        <w:tc>
          <w:tcPr>
            <w:tcW w:w="3060" w:type="dxa"/>
            <w:tcBorders>
              <w:right w:val="single" w:sz="4" w:space="0" w:color="auto"/>
            </w:tcBorders>
          </w:tcPr>
          <w:p w:rsidR="0049070F" w:rsidRPr="001E23C9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1E23C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Adjustment for SES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49070F" w:rsidTr="001E04C7">
        <w:tc>
          <w:tcPr>
            <w:tcW w:w="3060" w:type="dxa"/>
            <w:tcBorders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Without adjusting for SES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2.68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0.01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-2.02</w:t>
            </w:r>
          </w:p>
        </w:tc>
        <w:tc>
          <w:tcPr>
            <w:tcW w:w="0" w:type="auto"/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0.04</w:t>
            </w:r>
          </w:p>
        </w:tc>
      </w:tr>
      <w:tr w:rsidR="0049070F" w:rsidTr="001E04C7">
        <w:tc>
          <w:tcPr>
            <w:tcW w:w="3060" w:type="dxa"/>
            <w:tcBorders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With adjustment for SES 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2.73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0.01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-2.04</w:t>
            </w:r>
          </w:p>
        </w:tc>
        <w:tc>
          <w:tcPr>
            <w:tcW w:w="0" w:type="auto"/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0.04</w:t>
            </w:r>
          </w:p>
        </w:tc>
      </w:tr>
      <w:tr w:rsidR="0049070F" w:rsidTr="001E04C7">
        <w:tc>
          <w:tcPr>
            <w:tcW w:w="3060" w:type="dxa"/>
            <w:tcBorders>
              <w:right w:val="single" w:sz="4" w:space="0" w:color="auto"/>
            </w:tcBorders>
          </w:tcPr>
          <w:p w:rsidR="0049070F" w:rsidRPr="00AC2B7C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AC2B7C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Stratification based on SES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49070F" w:rsidTr="001E04C7">
        <w:tc>
          <w:tcPr>
            <w:tcW w:w="3060" w:type="dxa"/>
            <w:tcBorders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White-collar workers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1.00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0.32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-1.92</w:t>
            </w:r>
          </w:p>
        </w:tc>
        <w:tc>
          <w:tcPr>
            <w:tcW w:w="0" w:type="auto"/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0.06</w:t>
            </w:r>
          </w:p>
        </w:tc>
      </w:tr>
      <w:tr w:rsidR="0049070F" w:rsidTr="001E04C7">
        <w:tc>
          <w:tcPr>
            <w:tcW w:w="3060" w:type="dxa"/>
            <w:tcBorders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Blue-skilled workers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1.26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0.21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-1.73</w:t>
            </w:r>
          </w:p>
        </w:tc>
        <w:tc>
          <w:tcPr>
            <w:tcW w:w="0" w:type="auto"/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0.08</w:t>
            </w:r>
          </w:p>
        </w:tc>
      </w:tr>
      <w:tr w:rsidR="0049070F" w:rsidTr="001E04C7">
        <w:tc>
          <w:tcPr>
            <w:tcW w:w="3060" w:type="dxa"/>
            <w:tcBorders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Blue-unskilled workers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2.24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-0.64</w:t>
            </w:r>
          </w:p>
        </w:tc>
        <w:tc>
          <w:tcPr>
            <w:tcW w:w="0" w:type="auto"/>
          </w:tcPr>
          <w:p w:rsidR="0049070F" w:rsidRDefault="0049070F" w:rsidP="00F549FD">
            <w:pPr>
              <w:pStyle w:val="MDPI31text"/>
              <w:spacing w:line="36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0.52</w:t>
            </w:r>
          </w:p>
        </w:tc>
      </w:tr>
    </w:tbl>
    <w:p w:rsidR="0049070F" w:rsidRPr="0049070F" w:rsidRDefault="00F549FD" w:rsidP="00F549FD">
      <w:pPr>
        <w:pStyle w:val="MDPI31text"/>
        <w:spacing w:line="360" w:lineRule="auto"/>
        <w:ind w:firstLine="0"/>
        <w:jc w:val="left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A</w:t>
      </w:r>
      <w:r w:rsidR="0049070F">
        <w:rPr>
          <w:rFonts w:ascii="Times New Roman" w:hAnsi="Times New Roman"/>
          <w:lang w:val="en-GB"/>
        </w:rPr>
        <w:t xml:space="preserve">djusted for </w:t>
      </w:r>
      <w:r w:rsidR="0049070F" w:rsidRPr="00695BB9">
        <w:rPr>
          <w:rFonts w:ascii="Times New Roman" w:hAnsi="Times New Roman"/>
          <w:lang w:val="en-GB"/>
        </w:rPr>
        <w:t>age, sex, BMI, smoking status, and occupational lifting/carrying duration</w:t>
      </w:r>
      <w:r w:rsidR="0049070F">
        <w:rPr>
          <w:rFonts w:ascii="Times New Roman" w:hAnsi="Times New Roman"/>
          <w:lang w:val="en-GB"/>
        </w:rPr>
        <w:t xml:space="preserve"> and MVPA and other physical behaviours in the m</w:t>
      </w:r>
      <w:r w:rsidR="0049070F">
        <w:rPr>
          <w:rFonts w:ascii="Times New Roman" w:hAnsi="Times New Roman"/>
          <w:lang w:val="en-GB"/>
        </w:rPr>
        <w:t>utual domain; HR=hazard ratios</w:t>
      </w:r>
    </w:p>
    <w:p w:rsidR="00565EEE" w:rsidRPr="0049070F" w:rsidRDefault="00565EEE" w:rsidP="00F549FD">
      <w:pPr>
        <w:spacing w:after="0" w:line="360" w:lineRule="auto"/>
      </w:pPr>
    </w:p>
    <w:sectPr w:rsidR="00565EEE" w:rsidRPr="0049070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70F"/>
    <w:rsid w:val="003A3CF5"/>
    <w:rsid w:val="00485BF1"/>
    <w:rsid w:val="0049070F"/>
    <w:rsid w:val="00565EEE"/>
    <w:rsid w:val="00F54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29F26"/>
  <w15:chartTrackingRefBased/>
  <w15:docId w15:val="{1B2158E8-B174-4AB8-8CF9-FBCE11564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070F"/>
    <w:pPr>
      <w:spacing w:after="200" w:line="276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basedOn w:val="Normal"/>
    <w:rsid w:val="0049070F"/>
    <w:pPr>
      <w:snapToGrid w:val="0"/>
      <w:spacing w:after="0" w:line="260" w:lineRule="atLeast"/>
      <w:ind w:firstLine="425"/>
      <w:jc w:val="both"/>
    </w:pPr>
    <w:rPr>
      <w:rFonts w:ascii="Palatino Linotype" w:hAnsi="Palatino Linotype"/>
      <w:color w:val="000000"/>
      <w:sz w:val="20"/>
      <w:szCs w:val="20"/>
      <w:lang w:val="da-DK" w:eastAsia="de-DE"/>
    </w:rPr>
  </w:style>
  <w:style w:type="table" w:styleId="TableGrid">
    <w:name w:val="Table Grid"/>
    <w:basedOn w:val="TableNormal"/>
    <w:uiPriority w:val="59"/>
    <w:rsid w:val="0049070F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269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Statens It</Company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Nidhi Gupta (NGU)</dc:creator>
  <cp:keywords/>
  <dc:description/>
  <cp:lastModifiedBy>Nidhi Gupta (NGU)</cp:lastModifiedBy>
  <cp:revision>4</cp:revision>
  <dcterms:created xsi:type="dcterms:W3CDTF">2019-11-22T11:39:00Z</dcterms:created>
  <dcterms:modified xsi:type="dcterms:W3CDTF">2019-11-22T11:41:00Z</dcterms:modified>
</cp:coreProperties>
</file>